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D9" w:rsidRDefault="008E77D9" w:rsidP="008E77D9">
      <w:pPr>
        <w:jc w:val="center"/>
      </w:pPr>
    </w:p>
    <w:p w:rsidR="008E77D9" w:rsidRDefault="00E06F69">
      <w:r>
        <w:rPr>
          <w:noProof/>
        </w:rPr>
        <w:drawing>
          <wp:anchor distT="0" distB="0" distL="114300" distR="114300" simplePos="0" relativeHeight="251658240" behindDoc="0" locked="0" layoutInCell="1" allowOverlap="1" wp14:anchorId="20A18309" wp14:editId="6F2CBB45">
            <wp:simplePos x="0" y="0"/>
            <wp:positionH relativeFrom="margin">
              <wp:posOffset>1715045</wp:posOffset>
            </wp:positionH>
            <wp:positionV relativeFrom="paragraph">
              <wp:posOffset>7983</wp:posOffset>
            </wp:positionV>
            <wp:extent cx="609600" cy="592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592956"/>
                    </a:xfrm>
                    <a:prstGeom prst="rect">
                      <a:avLst/>
                    </a:prstGeom>
                  </pic:spPr>
                </pic:pic>
              </a:graphicData>
            </a:graphic>
            <wp14:sizeRelH relativeFrom="margin">
              <wp14:pctWidth>0</wp14:pctWidth>
            </wp14:sizeRelH>
            <wp14:sizeRelV relativeFrom="margin">
              <wp14:pctHeight>0</wp14:pctHeight>
            </wp14:sizeRelV>
          </wp:anchor>
        </w:drawing>
      </w:r>
    </w:p>
    <w:p w:rsidR="008E77D9" w:rsidRPr="00E06F69" w:rsidRDefault="00E06F69" w:rsidP="00E06F69">
      <w:pPr>
        <w:rPr>
          <w:rFonts w:ascii="Boogaloo" w:hAnsi="Boogaloo"/>
          <w:sz w:val="32"/>
        </w:rPr>
      </w:pPr>
      <w:r>
        <w:rPr>
          <w:rFonts w:ascii="AR CENA" w:hAnsi="AR CENA"/>
          <w:sz w:val="32"/>
        </w:rPr>
        <w:t xml:space="preserve">                                             </w:t>
      </w:r>
      <w:r w:rsidR="00154F97" w:rsidRPr="00E06F69">
        <w:rPr>
          <w:rFonts w:ascii="Boogaloo" w:hAnsi="Boogaloo"/>
          <w:sz w:val="32"/>
        </w:rPr>
        <w:t>Client Grievance Policy</w:t>
      </w:r>
    </w:p>
    <w:p w:rsidR="00154F97" w:rsidRPr="00154F97" w:rsidRDefault="00154F97" w:rsidP="00154F97">
      <w:pPr>
        <w:jc w:val="center"/>
        <w:rPr>
          <w:rFonts w:ascii="AR CENA" w:hAnsi="AR CENA"/>
          <w:sz w:val="4"/>
        </w:rPr>
      </w:pPr>
    </w:p>
    <w:p w:rsidR="00154F97" w:rsidRPr="00154F97" w:rsidRDefault="00154F97" w:rsidP="00154F97">
      <w:pPr>
        <w:pStyle w:val="NoSpacing"/>
        <w:ind w:left="-270"/>
        <w:rPr>
          <w:rFonts w:cstheme="minorHAnsi"/>
        </w:rPr>
      </w:pPr>
      <w:r w:rsidRPr="00154F97">
        <w:rPr>
          <w:rFonts w:cstheme="minorHAnsi"/>
        </w:rPr>
        <w:t>The Southeast New Mexico Child Advocacy Centers (SENMCAC) believes that the indiv</w:t>
      </w:r>
      <w:bookmarkStart w:id="0" w:name="_GoBack"/>
      <w:bookmarkEnd w:id="0"/>
      <w:r w:rsidRPr="00154F97">
        <w:rPr>
          <w:rFonts w:cstheme="minorHAnsi"/>
        </w:rPr>
        <w:t>iduals and families we serve have the right to receive respectful and responsive services in a safe environment.  To ensure this, we are committed to providing a way for complaints to be made and resolved.</w:t>
      </w:r>
    </w:p>
    <w:p w:rsidR="00154F97" w:rsidRPr="00154F97" w:rsidRDefault="00154F97" w:rsidP="00154F97">
      <w:pPr>
        <w:pStyle w:val="NoSpacing"/>
        <w:ind w:left="-270"/>
        <w:rPr>
          <w:rFonts w:cstheme="minorHAnsi"/>
        </w:rPr>
      </w:pPr>
    </w:p>
    <w:p w:rsidR="00154F97" w:rsidRPr="00154F97" w:rsidRDefault="00154F97" w:rsidP="00154F97">
      <w:pPr>
        <w:pStyle w:val="NoSpacing"/>
        <w:ind w:left="-270"/>
        <w:rPr>
          <w:rFonts w:cstheme="minorHAnsi"/>
        </w:rPr>
      </w:pPr>
      <w:r w:rsidRPr="00154F97">
        <w:rPr>
          <w:rFonts w:cstheme="minorHAnsi"/>
        </w:rPr>
        <w:t>A grievance is a complaint that can be made about something the client does not like.  It may be a complaint about the rules, the people he/she has had contact with or the environment in which he/she was served.</w:t>
      </w:r>
    </w:p>
    <w:p w:rsidR="00154F97" w:rsidRPr="00154F97" w:rsidRDefault="00154F97" w:rsidP="00154F97">
      <w:pPr>
        <w:pStyle w:val="NoSpacing"/>
        <w:ind w:left="-270"/>
        <w:rPr>
          <w:rFonts w:cstheme="minorHAnsi"/>
        </w:rPr>
      </w:pPr>
    </w:p>
    <w:p w:rsidR="00154F97" w:rsidRPr="00154F97" w:rsidRDefault="00154F97" w:rsidP="00154F97">
      <w:pPr>
        <w:pStyle w:val="NoSpacing"/>
        <w:ind w:left="-270"/>
        <w:rPr>
          <w:rFonts w:cstheme="minorHAnsi"/>
        </w:rPr>
      </w:pPr>
      <w:r w:rsidRPr="00154F97">
        <w:rPr>
          <w:rFonts w:cstheme="minorHAnsi"/>
        </w:rPr>
        <w:t>The Client Grievan</w:t>
      </w:r>
      <w:r w:rsidR="00E06F69">
        <w:rPr>
          <w:rFonts w:cstheme="minorHAnsi"/>
        </w:rPr>
        <w:t>ce Policy will be posted in the Cavern City CAC,</w:t>
      </w:r>
      <w:r w:rsidRPr="00154F97">
        <w:rPr>
          <w:rFonts w:cstheme="minorHAnsi"/>
        </w:rPr>
        <w:t xml:space="preserve"> Lea County CAC</w:t>
      </w:r>
      <w:r w:rsidR="00E06F69">
        <w:rPr>
          <w:rFonts w:cstheme="minorHAnsi"/>
        </w:rPr>
        <w:t>, and Foundry Home</w:t>
      </w:r>
      <w:r w:rsidRPr="00154F97">
        <w:rPr>
          <w:rFonts w:cstheme="minorHAnsi"/>
        </w:rPr>
        <w:t xml:space="preserve"> and will be posted on the agency website.</w:t>
      </w:r>
    </w:p>
    <w:p w:rsidR="00154F97" w:rsidRPr="00154F97" w:rsidRDefault="00154F97" w:rsidP="00154F97">
      <w:pPr>
        <w:pStyle w:val="NoSpacing"/>
        <w:ind w:left="-270"/>
        <w:rPr>
          <w:rFonts w:cstheme="minorHAnsi"/>
        </w:rPr>
      </w:pPr>
    </w:p>
    <w:p w:rsidR="00154F97" w:rsidRPr="00154F97" w:rsidRDefault="00154F97" w:rsidP="00154F97">
      <w:pPr>
        <w:pStyle w:val="NoSpacing"/>
        <w:ind w:left="-270"/>
        <w:rPr>
          <w:rFonts w:cstheme="minorHAnsi"/>
        </w:rPr>
      </w:pPr>
      <w:r w:rsidRPr="00154F97">
        <w:rPr>
          <w:rFonts w:cstheme="minorHAnsi"/>
        </w:rPr>
        <w:t>It is against the SENMCAC policies for clients filing a grievance to be criticized, mistreated or threatened by staff.</w:t>
      </w:r>
    </w:p>
    <w:p w:rsidR="00154F97" w:rsidRPr="00154F97" w:rsidRDefault="00154F97" w:rsidP="00154F97">
      <w:pPr>
        <w:pStyle w:val="NoSpacing"/>
        <w:rPr>
          <w:rFonts w:cstheme="minorHAnsi"/>
        </w:rPr>
      </w:pPr>
    </w:p>
    <w:p w:rsidR="00154F97" w:rsidRPr="00154F97" w:rsidRDefault="00154F97" w:rsidP="00154F97">
      <w:pPr>
        <w:pStyle w:val="NoSpacing"/>
        <w:ind w:left="-270"/>
        <w:rPr>
          <w:rFonts w:cstheme="minorHAnsi"/>
        </w:rPr>
      </w:pPr>
      <w:r w:rsidRPr="00154F97">
        <w:rPr>
          <w:rFonts w:cstheme="minorHAnsi"/>
        </w:rPr>
        <w:t>If a client has a problem or complaint the f</w:t>
      </w:r>
      <w:r>
        <w:rPr>
          <w:rFonts w:cstheme="minorHAnsi"/>
        </w:rPr>
        <w:t>ollowing steps should be taken:</w:t>
      </w:r>
    </w:p>
    <w:p w:rsidR="00154F97" w:rsidRDefault="00154F97" w:rsidP="00154F97">
      <w:pPr>
        <w:pStyle w:val="NoSpacing"/>
        <w:numPr>
          <w:ilvl w:val="0"/>
          <w:numId w:val="2"/>
        </w:numPr>
        <w:rPr>
          <w:rFonts w:cstheme="minorHAnsi"/>
        </w:rPr>
      </w:pPr>
      <w:r w:rsidRPr="00154F97">
        <w:rPr>
          <w:rFonts w:cstheme="minorHAnsi"/>
        </w:rPr>
        <w:t>The client should talk to a staff person that he/she feels comfortable with about the problem or complaint.  The staff person will try to help the client in resolving the problem.  The staff person will inform the SENMCAC Director about the grievance as soon as possible.</w:t>
      </w:r>
    </w:p>
    <w:p w:rsidR="00154F97" w:rsidRDefault="00154F97" w:rsidP="00154F97">
      <w:pPr>
        <w:pStyle w:val="NoSpacing"/>
        <w:numPr>
          <w:ilvl w:val="0"/>
          <w:numId w:val="2"/>
        </w:numPr>
        <w:rPr>
          <w:rFonts w:cstheme="minorHAnsi"/>
        </w:rPr>
      </w:pPr>
      <w:r w:rsidRPr="00154F97">
        <w:rPr>
          <w:rFonts w:cstheme="minorHAnsi"/>
        </w:rPr>
        <w:t xml:space="preserve">If the staff person and/or the SENMCAC Director are not able to help resolve the problem or complaint, the client may contact the Director of the New Mexico Children’s Alliance, </w:t>
      </w:r>
      <w:r w:rsidR="00E06F69">
        <w:rPr>
          <w:rFonts w:cstheme="minorHAnsi"/>
        </w:rPr>
        <w:t>Melissa Ewer</w:t>
      </w:r>
      <w:r w:rsidRPr="00154F97">
        <w:rPr>
          <w:rFonts w:cstheme="minorHAnsi"/>
        </w:rPr>
        <w:t xml:space="preserve">, to address any dispute that cannot be resolved through the above channels. </w:t>
      </w:r>
    </w:p>
    <w:p w:rsidR="00154F97" w:rsidRPr="00154F97" w:rsidRDefault="00154F97" w:rsidP="00154F97">
      <w:pPr>
        <w:pStyle w:val="NoSpacing"/>
        <w:numPr>
          <w:ilvl w:val="0"/>
          <w:numId w:val="2"/>
        </w:numPr>
        <w:rPr>
          <w:rFonts w:cstheme="minorHAnsi"/>
        </w:rPr>
      </w:pPr>
      <w:r w:rsidRPr="00154F97">
        <w:rPr>
          <w:rFonts w:cstheme="minorHAnsi"/>
        </w:rPr>
        <w:t>If the NMCA Director is unable to resolve the problem or complaint, the client may submit a written grievance to any member of the Cavern City CAC Board of Directors by mail: Cavern City CAC BOD, PO Box 1441, Carlsbad, NM 88221.  The Cavern City CAC BOD will attempt to resolve the complaint or problem as soon as possible.   The Cavern City CAC BOD’s decision will be final.</w:t>
      </w:r>
    </w:p>
    <w:p w:rsidR="00154F97" w:rsidRPr="00154F97" w:rsidRDefault="00154F97" w:rsidP="00154F97">
      <w:pPr>
        <w:pStyle w:val="NoSpacing"/>
        <w:ind w:left="-270"/>
        <w:rPr>
          <w:rFonts w:cstheme="minorHAnsi"/>
        </w:rPr>
      </w:pPr>
    </w:p>
    <w:p w:rsidR="00154F97" w:rsidRPr="00154F97" w:rsidRDefault="00154F97" w:rsidP="00154F97">
      <w:pPr>
        <w:pStyle w:val="NoSpacing"/>
        <w:ind w:left="-270"/>
        <w:rPr>
          <w:rFonts w:cstheme="minorHAnsi"/>
        </w:rPr>
      </w:pPr>
    </w:p>
    <w:p w:rsidR="00154F97" w:rsidRPr="00154F97" w:rsidRDefault="00154F97" w:rsidP="00154F97">
      <w:pPr>
        <w:pStyle w:val="NoSpacing"/>
        <w:ind w:left="-270"/>
        <w:rPr>
          <w:rFonts w:cstheme="minorHAnsi"/>
        </w:rPr>
      </w:pPr>
      <w:r w:rsidRPr="00154F97">
        <w:rPr>
          <w:rFonts w:cstheme="minorHAnsi"/>
        </w:rPr>
        <w:t>The SENMCAC, comprised of the Caver</w:t>
      </w:r>
      <w:r w:rsidR="00E06F69">
        <w:rPr>
          <w:rFonts w:cstheme="minorHAnsi"/>
        </w:rPr>
        <w:t>n City Child Advocacy Center,</w:t>
      </w:r>
      <w:r w:rsidRPr="00154F97">
        <w:rPr>
          <w:rFonts w:cstheme="minorHAnsi"/>
        </w:rPr>
        <w:t xml:space="preserve"> the Lea County Child Advocacy Center,</w:t>
      </w:r>
      <w:r w:rsidR="00E06F69">
        <w:rPr>
          <w:rFonts w:cstheme="minorHAnsi"/>
        </w:rPr>
        <w:t xml:space="preserve"> and the Foundry Home,</w:t>
      </w:r>
      <w:r w:rsidRPr="00154F97">
        <w:rPr>
          <w:rFonts w:cstheme="minorHAnsi"/>
        </w:rPr>
        <w:t xml:space="preserve"> receive funding from the following sources:</w:t>
      </w:r>
    </w:p>
    <w:p w:rsidR="00154F97" w:rsidRPr="00154F97" w:rsidRDefault="00154F97" w:rsidP="00154F97">
      <w:pPr>
        <w:pStyle w:val="NoSpacing"/>
        <w:numPr>
          <w:ilvl w:val="0"/>
          <w:numId w:val="1"/>
        </w:numPr>
        <w:ind w:left="540" w:right="-270"/>
        <w:rPr>
          <w:rFonts w:cstheme="minorHAnsi"/>
        </w:rPr>
      </w:pPr>
      <w:r w:rsidRPr="00154F97">
        <w:rPr>
          <w:rFonts w:cstheme="minorHAnsi"/>
        </w:rPr>
        <w:t>The City of Carlsbad</w:t>
      </w:r>
    </w:p>
    <w:p w:rsidR="00154F97" w:rsidRPr="00154F97" w:rsidRDefault="00154F97" w:rsidP="00154F97">
      <w:pPr>
        <w:pStyle w:val="NoSpacing"/>
        <w:numPr>
          <w:ilvl w:val="0"/>
          <w:numId w:val="1"/>
        </w:numPr>
        <w:ind w:left="540" w:right="-270"/>
        <w:rPr>
          <w:rFonts w:cstheme="minorHAnsi"/>
        </w:rPr>
      </w:pPr>
      <w:r w:rsidRPr="00154F97">
        <w:rPr>
          <w:rFonts w:cstheme="minorHAnsi"/>
        </w:rPr>
        <w:t>Eddy County</w:t>
      </w:r>
    </w:p>
    <w:p w:rsidR="00154F97" w:rsidRPr="00154F97" w:rsidRDefault="00154F97" w:rsidP="00154F97">
      <w:pPr>
        <w:pStyle w:val="NoSpacing"/>
        <w:numPr>
          <w:ilvl w:val="0"/>
          <w:numId w:val="1"/>
        </w:numPr>
        <w:ind w:left="540" w:right="-270"/>
        <w:rPr>
          <w:rFonts w:cstheme="minorHAnsi"/>
        </w:rPr>
      </w:pPr>
      <w:r w:rsidRPr="00154F97">
        <w:rPr>
          <w:rFonts w:cstheme="minorHAnsi"/>
        </w:rPr>
        <w:t xml:space="preserve">The Administrative Offices of the District Attorney, </w:t>
      </w:r>
      <w:r w:rsidR="00E06F69">
        <w:rPr>
          <w:rFonts w:cstheme="minorHAnsi"/>
        </w:rPr>
        <w:t>NMCSAP</w:t>
      </w:r>
      <w:r w:rsidRPr="00154F97">
        <w:rPr>
          <w:rFonts w:cstheme="minorHAnsi"/>
        </w:rPr>
        <w:t xml:space="preserve">, Farmington, NM </w:t>
      </w:r>
    </w:p>
    <w:p w:rsidR="00154F97" w:rsidRPr="00154F97" w:rsidRDefault="00154F97" w:rsidP="00154F97">
      <w:pPr>
        <w:pStyle w:val="NoSpacing"/>
        <w:numPr>
          <w:ilvl w:val="0"/>
          <w:numId w:val="1"/>
        </w:numPr>
        <w:ind w:left="540" w:right="-270"/>
        <w:rPr>
          <w:rFonts w:cstheme="minorHAnsi"/>
        </w:rPr>
      </w:pPr>
      <w:r w:rsidRPr="00154F97">
        <w:rPr>
          <w:rFonts w:cstheme="minorHAnsi"/>
        </w:rPr>
        <w:t>Child Advocacy Center Grant</w:t>
      </w:r>
    </w:p>
    <w:p w:rsidR="00154F97" w:rsidRDefault="00154F97" w:rsidP="00154F97">
      <w:pPr>
        <w:pStyle w:val="NoSpacing"/>
        <w:numPr>
          <w:ilvl w:val="0"/>
          <w:numId w:val="1"/>
        </w:numPr>
        <w:ind w:left="540" w:right="-270"/>
        <w:rPr>
          <w:rFonts w:cstheme="minorHAnsi"/>
        </w:rPr>
      </w:pPr>
      <w:r>
        <w:rPr>
          <w:rFonts w:cstheme="minorHAnsi"/>
        </w:rPr>
        <w:t>Victim o</w:t>
      </w:r>
      <w:r w:rsidRPr="00154F97">
        <w:rPr>
          <w:rFonts w:cstheme="minorHAnsi"/>
        </w:rPr>
        <w:t>f Crime Act</w:t>
      </w:r>
      <w:r w:rsidR="00E06F69">
        <w:rPr>
          <w:rFonts w:cstheme="minorHAnsi"/>
        </w:rPr>
        <w:t xml:space="preserve"> (VOCA)</w:t>
      </w:r>
      <w:r w:rsidRPr="00154F97">
        <w:rPr>
          <w:rFonts w:cstheme="minorHAnsi"/>
        </w:rPr>
        <w:t xml:space="preserve"> Grant</w:t>
      </w:r>
    </w:p>
    <w:p w:rsidR="00E06F69" w:rsidRDefault="00E06F69" w:rsidP="00154F97">
      <w:pPr>
        <w:pStyle w:val="NoSpacing"/>
        <w:numPr>
          <w:ilvl w:val="0"/>
          <w:numId w:val="1"/>
        </w:numPr>
        <w:ind w:left="540" w:right="-270"/>
        <w:rPr>
          <w:rFonts w:cstheme="minorHAnsi"/>
        </w:rPr>
      </w:pPr>
      <w:r>
        <w:rPr>
          <w:rFonts w:cstheme="minorHAnsi"/>
        </w:rPr>
        <w:t>Basic Center Program Grant</w:t>
      </w:r>
    </w:p>
    <w:p w:rsidR="00E06F69" w:rsidRDefault="00E06F69" w:rsidP="00154F97">
      <w:pPr>
        <w:pStyle w:val="NoSpacing"/>
        <w:numPr>
          <w:ilvl w:val="0"/>
          <w:numId w:val="1"/>
        </w:numPr>
        <w:ind w:left="540" w:right="-270"/>
        <w:rPr>
          <w:rFonts w:cstheme="minorHAnsi"/>
        </w:rPr>
      </w:pPr>
      <w:r>
        <w:rPr>
          <w:rFonts w:cstheme="minorHAnsi"/>
        </w:rPr>
        <w:t>Children, Youth, and Families Department Grant</w:t>
      </w:r>
    </w:p>
    <w:p w:rsidR="00E06F69" w:rsidRPr="00154F97" w:rsidRDefault="00E06F69" w:rsidP="00154F97">
      <w:pPr>
        <w:pStyle w:val="NoSpacing"/>
        <w:numPr>
          <w:ilvl w:val="0"/>
          <w:numId w:val="1"/>
        </w:numPr>
        <w:ind w:left="540" w:right="-270"/>
        <w:rPr>
          <w:rFonts w:cstheme="minorHAnsi"/>
        </w:rPr>
      </w:pPr>
      <w:r>
        <w:rPr>
          <w:rFonts w:cstheme="minorHAnsi"/>
        </w:rPr>
        <w:t>United Way of Eddy County</w:t>
      </w:r>
    </w:p>
    <w:p w:rsidR="00154F97" w:rsidRPr="00154F97" w:rsidRDefault="00154F97" w:rsidP="00154F97">
      <w:pPr>
        <w:pStyle w:val="NoSpacing"/>
        <w:ind w:left="540" w:right="-270"/>
        <w:rPr>
          <w:rFonts w:cstheme="minorHAnsi"/>
          <w:sz w:val="20"/>
        </w:rPr>
      </w:pPr>
    </w:p>
    <w:p w:rsidR="008E77D9" w:rsidRPr="00154F97" w:rsidRDefault="008E77D9" w:rsidP="008E77D9">
      <w:pPr>
        <w:pStyle w:val="NoSpacing"/>
        <w:rPr>
          <w:rFonts w:cstheme="minorHAnsi"/>
          <w:sz w:val="20"/>
        </w:rPr>
      </w:pPr>
    </w:p>
    <w:sectPr w:rsidR="008E77D9" w:rsidRPr="00154F97" w:rsidSect="00154F97">
      <w:head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C4" w:rsidRDefault="00BB34C4" w:rsidP="00BB34C4">
      <w:pPr>
        <w:spacing w:after="0" w:line="240" w:lineRule="auto"/>
      </w:pPr>
      <w:r>
        <w:separator/>
      </w:r>
    </w:p>
  </w:endnote>
  <w:endnote w:type="continuationSeparator" w:id="0">
    <w:p w:rsidR="00BB34C4" w:rsidRDefault="00BB34C4" w:rsidP="00BB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 CENA">
    <w:altName w:val="Times New Roman"/>
    <w:charset w:val="00"/>
    <w:family w:val="auto"/>
    <w:pitch w:val="variable"/>
    <w:sig w:usb0="8000002F" w:usb1="0000000A" w:usb2="00000000" w:usb3="00000000" w:csb0="00000001" w:csb1="00000000"/>
  </w:font>
  <w:font w:name="Boogaloo">
    <w:altName w:val="Boogaloo"/>
    <w:panose1 w:val="03060902030202020203"/>
    <w:charset w:val="00"/>
    <w:family w:val="script"/>
    <w:pitch w:val="variable"/>
    <w:sig w:usb0="0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C4" w:rsidRDefault="00BB34C4" w:rsidP="00BB34C4">
      <w:pPr>
        <w:spacing w:after="0" w:line="240" w:lineRule="auto"/>
      </w:pPr>
      <w:r>
        <w:separator/>
      </w:r>
    </w:p>
  </w:footnote>
  <w:footnote w:type="continuationSeparator" w:id="0">
    <w:p w:rsidR="00BB34C4" w:rsidRDefault="00BB34C4" w:rsidP="00BB3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C4" w:rsidRPr="00BB34C4" w:rsidRDefault="00BB34C4">
    <w:pPr>
      <w:pStyle w:val="Header"/>
      <w:rPr>
        <w:sz w:val="24"/>
      </w:rPr>
    </w:pPr>
    <w:r w:rsidRPr="00BB34C4">
      <w:rPr>
        <w:sz w:val="24"/>
      </w:rPr>
      <w:t xml:space="preserve">Cavern City CAC                                                                                      </w:t>
    </w:r>
    <w:r>
      <w:rPr>
        <w:sz w:val="24"/>
      </w:rPr>
      <w:t xml:space="preserve">                </w:t>
    </w:r>
    <w:r w:rsidRPr="00BB34C4">
      <w:rPr>
        <w:sz w:val="24"/>
      </w:rPr>
      <w:t>Client Grievance Policy</w:t>
    </w:r>
  </w:p>
  <w:p w:rsidR="00BB34C4" w:rsidRPr="00BB34C4" w:rsidRDefault="00BB34C4">
    <w:pPr>
      <w:pStyle w:val="Header"/>
      <w:rPr>
        <w:sz w:val="24"/>
      </w:rPr>
    </w:pPr>
    <w:r w:rsidRPr="00BB34C4">
      <w:rPr>
        <w:sz w:val="24"/>
      </w:rPr>
      <w:t xml:space="preserve">                                                                                                   </w:t>
    </w:r>
    <w:r>
      <w:rPr>
        <w:sz w:val="24"/>
      </w:rPr>
      <w:t xml:space="preserve">                 </w:t>
    </w:r>
    <w:r w:rsidRPr="00BB34C4">
      <w:rPr>
        <w:sz w:val="24"/>
      </w:rPr>
      <w:t xml:space="preserve">                                  August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499A"/>
    <w:multiLevelType w:val="hybridMultilevel"/>
    <w:tmpl w:val="AE2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4D0"/>
    <w:multiLevelType w:val="hybridMultilevel"/>
    <w:tmpl w:val="A904770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D9"/>
    <w:rsid w:val="000F403A"/>
    <w:rsid w:val="00154F97"/>
    <w:rsid w:val="008E77D9"/>
    <w:rsid w:val="00BB34C4"/>
    <w:rsid w:val="00E06F69"/>
    <w:rsid w:val="00F4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594D"/>
  <w15:chartTrackingRefBased/>
  <w15:docId w15:val="{82CCEA3B-73D1-44C6-BCBD-330FBCC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7D9"/>
    <w:pPr>
      <w:spacing w:after="0" w:line="240" w:lineRule="auto"/>
    </w:pPr>
  </w:style>
  <w:style w:type="character" w:styleId="Hyperlink">
    <w:name w:val="Hyperlink"/>
    <w:basedOn w:val="DefaultParagraphFont"/>
    <w:uiPriority w:val="99"/>
    <w:unhideWhenUsed/>
    <w:rsid w:val="008E77D9"/>
    <w:rPr>
      <w:color w:val="0563C1" w:themeColor="hyperlink"/>
      <w:u w:val="single"/>
    </w:rPr>
  </w:style>
  <w:style w:type="paragraph" w:styleId="Header">
    <w:name w:val="header"/>
    <w:basedOn w:val="Normal"/>
    <w:link w:val="HeaderChar"/>
    <w:uiPriority w:val="99"/>
    <w:unhideWhenUsed/>
    <w:rsid w:val="00BB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C4"/>
  </w:style>
  <w:style w:type="paragraph" w:styleId="Footer">
    <w:name w:val="footer"/>
    <w:basedOn w:val="Normal"/>
    <w:link w:val="FooterChar"/>
    <w:uiPriority w:val="99"/>
    <w:unhideWhenUsed/>
    <w:rsid w:val="00BB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fhclab@outlook.com</cp:lastModifiedBy>
  <cp:revision>5</cp:revision>
  <dcterms:created xsi:type="dcterms:W3CDTF">2017-12-03T06:01:00Z</dcterms:created>
  <dcterms:modified xsi:type="dcterms:W3CDTF">2021-04-18T17:27:00Z</dcterms:modified>
</cp:coreProperties>
</file>